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Наименование устройства: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Тип: РЛС, РЭБ и т.д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Подтип: Относить к существующему или выделять новый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Характеристики: Список характеристик может соотносится с типом или подтипом или быть своим у конкретного устройства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Формат отображения на карте: Может быть общий для подтипа или своим у конкретного устройства</w:t>
        <w:br w:type="textWrapping"/>
        <w:br w:type="textWrapping"/>
        <w:t xml:space="preserve">Способы подключения: По факту получения документации. Список портов и протоколов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Протокол передачи данных: По факту получения документации. Формат в котором устройство получает команды и отправляют данные (диагностические и мониторинговые)</w:t>
      </w:r>
    </w:p>
    <w:sectPr>
      <w:pgSz w:h="16838" w:w="11906" w:orient="portrait"/>
      <w:pgMar w:bottom="566.9291338582677" w:top="566.9291338582677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  <w:jc w:val="center"/>
    </w:pPr>
    <w:rPr>
      <w:rFonts w:ascii="Times New Roman" w:cs="Times New Roman" w:eastAsia="Times New Roman" w:hAnsi="Times New Roman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